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1D1" w:rsidRDefault="005461D1">
      <w:pPr>
        <w:rPr>
          <w:b/>
          <w:sz w:val="28"/>
          <w:szCs w:val="28"/>
        </w:rPr>
      </w:pPr>
      <w:r w:rsidRPr="005461D1">
        <w:rPr>
          <w:rFonts w:cs="Calibri"/>
          <w:lang w:eastAsia="ru-RU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5461D1">
        <w:rPr>
          <w:rFonts w:cs="Calibri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5461D1" w:rsidRDefault="00FE0221">
      <w:pPr>
        <w:pStyle w:val="af5"/>
        <w:spacing w:before="0" w:beforeAutospacing="0" w:after="0" w:afterAutospacing="0"/>
        <w:jc w:val="center"/>
        <w:rPr>
          <w:b/>
          <w:bCs/>
          <w:color w:val="292C2F"/>
          <w:sz w:val="28"/>
          <w:szCs w:val="28"/>
        </w:rPr>
      </w:pPr>
      <w:r>
        <w:rPr>
          <w:b/>
          <w:color w:val="292C2F"/>
          <w:sz w:val="28"/>
          <w:szCs w:val="28"/>
        </w:rPr>
        <w:t>Росреестр обсудил с регионами Сибири статус исполнения поручений Президента</w:t>
      </w:r>
      <w:r>
        <w:rPr>
          <w:rFonts w:asciiTheme="minorHAnsi" w:eastAsiaTheme="minorHAnsi" w:hAnsiTheme="minorHAnsi" w:cstheme="minorBidi"/>
          <w:color w:val="292C2F"/>
          <w:sz w:val="28"/>
          <w:szCs w:val="28"/>
          <w:lang w:eastAsia="en-US"/>
        </w:rPr>
        <w:t xml:space="preserve"> </w:t>
      </w:r>
      <w:r>
        <w:rPr>
          <w:b/>
          <w:color w:val="292C2F"/>
          <w:sz w:val="28"/>
          <w:szCs w:val="28"/>
        </w:rPr>
        <w:t>в сфере земли и недвижимости</w:t>
      </w:r>
    </w:p>
    <w:p w:rsidR="005461D1" w:rsidRDefault="005461D1">
      <w:pPr>
        <w:pStyle w:val="af5"/>
        <w:spacing w:before="0" w:beforeAutospacing="0" w:after="0" w:afterAutospacing="0"/>
        <w:jc w:val="both"/>
        <w:rPr>
          <w:color w:val="292C2F"/>
          <w:sz w:val="28"/>
          <w:szCs w:val="28"/>
        </w:rPr>
      </w:pPr>
    </w:p>
    <w:p w:rsidR="005461D1" w:rsidRDefault="00FE0221">
      <w:pPr>
        <w:pStyle w:val="af5"/>
        <w:spacing w:before="0" w:beforeAutospacing="0" w:after="0" w:afterAutospacing="0"/>
        <w:ind w:firstLine="708"/>
        <w:jc w:val="both"/>
        <w:rPr>
          <w:color w:val="292C2F"/>
          <w:sz w:val="28"/>
          <w:szCs w:val="28"/>
        </w:rPr>
      </w:pPr>
      <w:r>
        <w:rPr>
          <w:color w:val="292C2F"/>
          <w:sz w:val="28"/>
          <w:szCs w:val="28"/>
        </w:rPr>
        <w:t xml:space="preserve">Заместитель руководителя Росреестра </w:t>
      </w:r>
      <w:r>
        <w:rPr>
          <w:b/>
          <w:bCs/>
          <w:color w:val="292C2F"/>
          <w:sz w:val="28"/>
          <w:szCs w:val="28"/>
        </w:rPr>
        <w:t xml:space="preserve">Людмила Лилина </w:t>
      </w:r>
      <w:r>
        <w:rPr>
          <w:bCs/>
          <w:color w:val="292C2F"/>
          <w:sz w:val="28"/>
          <w:szCs w:val="28"/>
        </w:rPr>
        <w:t>провела рабочее совещание</w:t>
      </w:r>
      <w:r>
        <w:rPr>
          <w:color w:val="292C2F"/>
          <w:sz w:val="28"/>
          <w:szCs w:val="28"/>
        </w:rPr>
        <w:t xml:space="preserve"> </w:t>
      </w:r>
      <w:r>
        <w:rPr>
          <w:color w:val="292C2F"/>
          <w:sz w:val="28"/>
          <w:szCs w:val="28"/>
        </w:rPr>
        <w:t>с представителями регионов Сибирского федерального округа (СФО). Главной темой обсуждения стало подведение промежуточных итогов по выполнению поручений Президента Российской Федерации в сфере земли и недвижимости.</w:t>
      </w:r>
    </w:p>
    <w:p w:rsidR="005461D1" w:rsidRDefault="00FE0221">
      <w:pPr>
        <w:pStyle w:val="af5"/>
        <w:spacing w:before="0" w:beforeAutospacing="0" w:after="0" w:afterAutospacing="0"/>
        <w:ind w:firstLine="708"/>
        <w:jc w:val="both"/>
        <w:rPr>
          <w:color w:val="292C2F"/>
          <w:sz w:val="28"/>
          <w:szCs w:val="28"/>
        </w:rPr>
      </w:pPr>
      <w:r>
        <w:rPr>
          <w:color w:val="292C2F"/>
          <w:sz w:val="28"/>
          <w:szCs w:val="28"/>
        </w:rPr>
        <w:t>Участие в совеща</w:t>
      </w:r>
      <w:r>
        <w:rPr>
          <w:color w:val="292C2F"/>
          <w:sz w:val="28"/>
          <w:szCs w:val="28"/>
        </w:rPr>
        <w:t xml:space="preserve">нии принял начальник Департамента по инвестиционной политике и территориальному развитию Аппарата полномочного представителя Президента РФ в СФО </w:t>
      </w:r>
      <w:r>
        <w:rPr>
          <w:b/>
          <w:color w:val="292C2F"/>
          <w:sz w:val="28"/>
          <w:szCs w:val="28"/>
        </w:rPr>
        <w:t>Иван Гончаров</w:t>
      </w:r>
      <w:r>
        <w:rPr>
          <w:color w:val="292C2F"/>
          <w:sz w:val="28"/>
          <w:szCs w:val="28"/>
        </w:rPr>
        <w:t>.</w:t>
      </w:r>
    </w:p>
    <w:p w:rsidR="005461D1" w:rsidRDefault="00FE0221">
      <w:pPr>
        <w:pStyle w:val="af5"/>
        <w:spacing w:before="0" w:beforeAutospacing="0" w:after="0" w:afterAutospacing="0"/>
        <w:ind w:firstLine="708"/>
        <w:jc w:val="both"/>
        <w:rPr>
          <w:color w:val="292C2F"/>
          <w:sz w:val="28"/>
          <w:szCs w:val="28"/>
        </w:rPr>
      </w:pPr>
      <w:r>
        <w:rPr>
          <w:b/>
          <w:color w:val="292C2F"/>
          <w:sz w:val="28"/>
          <w:szCs w:val="28"/>
        </w:rPr>
        <w:t>Людмила Лилина</w:t>
      </w:r>
      <w:r>
        <w:rPr>
          <w:color w:val="292C2F"/>
          <w:sz w:val="28"/>
          <w:szCs w:val="28"/>
        </w:rPr>
        <w:t xml:space="preserve"> акцентировала внимание на значимости работы, проводимой Росреестром совместно с с</w:t>
      </w:r>
      <w:r>
        <w:rPr>
          <w:color w:val="292C2F"/>
          <w:sz w:val="28"/>
          <w:szCs w:val="28"/>
        </w:rPr>
        <w:t>убъектами Сибири в рамках выполнения поручений Президента. В частности, до 1 января 2027 года важно завершить работу по внесению в ЕГРН границ муниципальных образований, населенных пунктов, территориальных зон и выявлению правообладателей. Также к 2030 год</w:t>
      </w:r>
      <w:r>
        <w:rPr>
          <w:color w:val="292C2F"/>
          <w:sz w:val="28"/>
          <w:szCs w:val="28"/>
        </w:rPr>
        <w:t xml:space="preserve">у необходимо повысить капитализацию территорий страны до 1 квадриллиона рублей </w:t>
      </w:r>
      <w:r>
        <w:rPr>
          <w:color w:val="292C2F"/>
          <w:sz w:val="28"/>
          <w:szCs w:val="28"/>
        </w:rPr>
        <w:t xml:space="preserve">и создать банк земли в объеме не менее 500 тыс. </w:t>
      </w:r>
      <w:r>
        <w:rPr>
          <w:color w:val="292C2F"/>
          <w:sz w:val="28"/>
          <w:szCs w:val="28"/>
        </w:rPr>
        <w:t xml:space="preserve">га. </w:t>
      </w:r>
    </w:p>
    <w:p w:rsidR="005461D1" w:rsidRDefault="00FE0221">
      <w:pPr>
        <w:pStyle w:val="af5"/>
        <w:spacing w:before="0" w:beforeAutospacing="0" w:after="0" w:afterAutospacing="0"/>
        <w:ind w:firstLine="708"/>
        <w:jc w:val="both"/>
        <w:rPr>
          <w:b/>
          <w:color w:val="292C2F"/>
          <w:sz w:val="28"/>
          <w:szCs w:val="28"/>
        </w:rPr>
      </w:pPr>
      <w:r>
        <w:rPr>
          <w:i/>
          <w:color w:val="292C2F"/>
          <w:sz w:val="28"/>
          <w:szCs w:val="28"/>
        </w:rPr>
        <w:t>«Задачи перед нами стоят масштабные. От их выполнения зависит развитие территорий, повышение экономического благосостояния р</w:t>
      </w:r>
      <w:r>
        <w:rPr>
          <w:i/>
          <w:color w:val="292C2F"/>
          <w:sz w:val="28"/>
          <w:szCs w:val="28"/>
        </w:rPr>
        <w:t>егионов и качества жизни людей. Нужно приложить совместные усилия, чтобы достичь всех результатов в установленные сроки»,</w:t>
      </w:r>
      <w:r>
        <w:rPr>
          <w:color w:val="292C2F"/>
          <w:sz w:val="28"/>
          <w:szCs w:val="28"/>
        </w:rPr>
        <w:t xml:space="preserve"> - сказала </w:t>
      </w:r>
      <w:r>
        <w:rPr>
          <w:b/>
          <w:color w:val="292C2F"/>
          <w:sz w:val="28"/>
          <w:szCs w:val="28"/>
        </w:rPr>
        <w:t>заместитель руководителя Росреестра.</w:t>
      </w:r>
    </w:p>
    <w:p w:rsidR="005461D1" w:rsidRDefault="00FE0221">
      <w:pPr>
        <w:pStyle w:val="af5"/>
        <w:spacing w:before="0" w:beforeAutospacing="0" w:after="0" w:afterAutospacing="0"/>
        <w:ind w:firstLine="708"/>
        <w:jc w:val="both"/>
        <w:rPr>
          <w:b/>
          <w:color w:val="292C2F"/>
          <w:sz w:val="28"/>
          <w:szCs w:val="28"/>
        </w:rPr>
      </w:pPr>
      <w:r>
        <w:rPr>
          <w:b/>
          <w:color w:val="292C2F"/>
          <w:sz w:val="28"/>
          <w:szCs w:val="28"/>
        </w:rPr>
        <w:t>Ключевые показатели по регионам Сибирского федерального округа</w:t>
      </w:r>
    </w:p>
    <w:p w:rsidR="005461D1" w:rsidRDefault="00FE0221">
      <w:pPr>
        <w:pStyle w:val="af5"/>
        <w:numPr>
          <w:ilvl w:val="0"/>
          <w:numId w:val="1"/>
        </w:numPr>
        <w:spacing w:after="0" w:afterAutospacing="0"/>
        <w:ind w:left="0" w:firstLine="709"/>
        <w:jc w:val="both"/>
        <w:rPr>
          <w:color w:val="292C2F"/>
          <w:sz w:val="28"/>
          <w:szCs w:val="28"/>
        </w:rPr>
      </w:pPr>
      <w:r>
        <w:rPr>
          <w:color w:val="292C2F"/>
          <w:sz w:val="28"/>
          <w:szCs w:val="28"/>
        </w:rPr>
        <w:t>с начала года количество</w:t>
      </w:r>
      <w:r>
        <w:rPr>
          <w:color w:val="292C2F"/>
          <w:sz w:val="28"/>
          <w:szCs w:val="28"/>
        </w:rPr>
        <w:t xml:space="preserve"> объектов без прав снизилось более чем на 85 тысяч,</w:t>
      </w:r>
    </w:p>
    <w:p w:rsidR="005461D1" w:rsidRDefault="00FE0221">
      <w:pPr>
        <w:pStyle w:val="af5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292C2F"/>
          <w:sz w:val="28"/>
          <w:szCs w:val="28"/>
        </w:rPr>
      </w:pPr>
      <w:proofErr w:type="gramStart"/>
      <w:r>
        <w:rPr>
          <w:color w:val="292C2F"/>
          <w:sz w:val="28"/>
          <w:szCs w:val="28"/>
        </w:rPr>
        <w:t>доля границ муниципальных образований, внесенных в Единый государственный реестр недвижимости, составляет 99,7%, границ территориальных зон - 91,2% – данные показатели превышают средние по стране, при это</w:t>
      </w:r>
      <w:r>
        <w:rPr>
          <w:color w:val="292C2F"/>
          <w:sz w:val="28"/>
          <w:szCs w:val="28"/>
        </w:rPr>
        <w:t>м в</w:t>
      </w:r>
      <w:r>
        <w:rPr>
          <w:color w:val="292C2F"/>
          <w:sz w:val="28"/>
          <w:szCs w:val="28"/>
        </w:rPr>
        <w:t xml:space="preserve"> семи регионах СФО на </w:t>
      </w:r>
      <w:r>
        <w:rPr>
          <w:b/>
          <w:color w:val="292C2F"/>
          <w:sz w:val="28"/>
          <w:szCs w:val="28"/>
        </w:rPr>
        <w:t>100%</w:t>
      </w:r>
      <w:r>
        <w:rPr>
          <w:color w:val="292C2F"/>
          <w:sz w:val="28"/>
          <w:szCs w:val="28"/>
        </w:rPr>
        <w:t xml:space="preserve"> установлены границы муниципальных образований (р</w:t>
      </w:r>
      <w:r>
        <w:rPr>
          <w:bCs/>
          <w:color w:val="292C2F"/>
          <w:sz w:val="28"/>
          <w:szCs w:val="28"/>
        </w:rPr>
        <w:t xml:space="preserve">еспублики Алтай, Хакасия, Алтайский, Красноярский края, Кемеровская, Новосибирская и Томская области), в пяти регионах (Иркутская область, республики Алтай, Тыва, Хакасия, </w:t>
      </w:r>
      <w:r>
        <w:rPr>
          <w:bCs/>
          <w:color w:val="292C2F"/>
          <w:sz w:val="28"/>
          <w:szCs w:val="28"/>
        </w:rPr>
        <w:t>Алтайский край)</w:t>
      </w:r>
      <w:r>
        <w:rPr>
          <w:color w:val="292C2F"/>
          <w:sz w:val="28"/>
          <w:szCs w:val="28"/>
        </w:rPr>
        <w:t xml:space="preserve"> в полном объеме установлены</w:t>
      </w:r>
      <w:proofErr w:type="gramEnd"/>
      <w:r>
        <w:rPr>
          <w:color w:val="292C2F"/>
          <w:sz w:val="28"/>
          <w:szCs w:val="28"/>
        </w:rPr>
        <w:t xml:space="preserve"> границы территориальных зон,</w:t>
      </w:r>
    </w:p>
    <w:p w:rsidR="005461D1" w:rsidRDefault="00FE0221">
      <w:pPr>
        <w:pStyle w:val="af5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292C2F"/>
          <w:sz w:val="28"/>
          <w:szCs w:val="28"/>
        </w:rPr>
      </w:pPr>
      <w:r>
        <w:rPr>
          <w:color w:val="292C2F"/>
          <w:sz w:val="28"/>
          <w:szCs w:val="28"/>
        </w:rPr>
        <w:t xml:space="preserve">в </w:t>
      </w:r>
      <w:r>
        <w:rPr>
          <w:color w:val="292C2F"/>
          <w:sz w:val="28"/>
          <w:szCs w:val="28"/>
        </w:rPr>
        <w:t xml:space="preserve">целом по СФО внесено </w:t>
      </w:r>
      <w:r>
        <w:rPr>
          <w:b/>
          <w:color w:val="292C2F"/>
          <w:sz w:val="28"/>
          <w:szCs w:val="28"/>
        </w:rPr>
        <w:t>100%</w:t>
      </w:r>
      <w:r>
        <w:rPr>
          <w:color w:val="292C2F"/>
          <w:sz w:val="28"/>
          <w:szCs w:val="28"/>
        </w:rPr>
        <w:t xml:space="preserve"> сведений об объектах культурного наследия федерального значения и их территориях, сведения об </w:t>
      </w:r>
      <w:r>
        <w:rPr>
          <w:color w:val="292C2F"/>
          <w:sz w:val="28"/>
          <w:szCs w:val="28"/>
        </w:rPr>
        <w:lastRenderedPageBreak/>
        <w:t>объектах культурного наследия регионального и местного значен</w:t>
      </w:r>
      <w:r>
        <w:rPr>
          <w:color w:val="292C2F"/>
          <w:sz w:val="28"/>
          <w:szCs w:val="28"/>
        </w:rPr>
        <w:t xml:space="preserve">ия внесены на </w:t>
      </w:r>
      <w:r>
        <w:rPr>
          <w:b/>
          <w:color w:val="292C2F"/>
          <w:sz w:val="28"/>
          <w:szCs w:val="28"/>
        </w:rPr>
        <w:t>93,6%</w:t>
      </w:r>
      <w:r>
        <w:rPr>
          <w:color w:val="292C2F"/>
          <w:sz w:val="28"/>
          <w:szCs w:val="28"/>
        </w:rPr>
        <w:t>.</w:t>
      </w:r>
    </w:p>
    <w:p w:rsidR="005461D1" w:rsidRDefault="00FE0221">
      <w:pPr>
        <w:pStyle w:val="af5"/>
        <w:spacing w:before="0" w:beforeAutospacing="0" w:after="0" w:afterAutospacing="0"/>
        <w:ind w:firstLine="709"/>
        <w:jc w:val="both"/>
        <w:rPr>
          <w:bCs/>
          <w:i/>
          <w:color w:val="292C2F"/>
          <w:sz w:val="28"/>
          <w:szCs w:val="28"/>
        </w:rPr>
      </w:pPr>
      <w:r>
        <w:rPr>
          <w:i/>
          <w:iCs/>
          <w:color w:val="292C2F"/>
          <w:sz w:val="28"/>
          <w:szCs w:val="28"/>
        </w:rPr>
        <w:t xml:space="preserve">«Активная совместная работа в Новосибирской области Управления Росреестра с региональными и местными органами власти позволила достичь высоких результатов по наполнению реестра недвижимости полными и точными сведениями об объектах, их </w:t>
      </w:r>
      <w:r>
        <w:rPr>
          <w:i/>
          <w:iCs/>
          <w:color w:val="292C2F"/>
          <w:sz w:val="28"/>
          <w:szCs w:val="28"/>
        </w:rPr>
        <w:t xml:space="preserve">правообладателях, административно-территориальных границах, – </w:t>
      </w:r>
      <w:r>
        <w:rPr>
          <w:color w:val="292C2F"/>
          <w:sz w:val="28"/>
          <w:szCs w:val="28"/>
        </w:rPr>
        <w:t xml:space="preserve">отметила руководитель Управления Росреестра по Новосибирской области </w:t>
      </w:r>
      <w:r>
        <w:rPr>
          <w:b/>
          <w:bCs/>
          <w:color w:val="292C2F"/>
          <w:sz w:val="28"/>
          <w:szCs w:val="28"/>
        </w:rPr>
        <w:t xml:space="preserve">Светлана </w:t>
      </w:r>
      <w:proofErr w:type="spellStart"/>
      <w:r>
        <w:rPr>
          <w:b/>
          <w:bCs/>
          <w:color w:val="292C2F"/>
          <w:sz w:val="28"/>
          <w:szCs w:val="28"/>
        </w:rPr>
        <w:t>Рягузова</w:t>
      </w:r>
      <w:proofErr w:type="spellEnd"/>
      <w:r>
        <w:rPr>
          <w:i/>
          <w:iCs/>
          <w:color w:val="292C2F"/>
          <w:sz w:val="28"/>
          <w:szCs w:val="28"/>
        </w:rPr>
        <w:t>. – До конца 2026 года особое внимание в регионе будет уделено завершению работ по установлению и внесению в</w:t>
      </w:r>
      <w:r>
        <w:rPr>
          <w:i/>
          <w:iCs/>
          <w:color w:val="292C2F"/>
          <w:sz w:val="28"/>
          <w:szCs w:val="28"/>
        </w:rPr>
        <w:t xml:space="preserve"> Единый государственный реестр недвижимости сведений о границах всех населенных пунктов и территориальных зон Новосибирской области».</w:t>
      </w:r>
    </w:p>
    <w:p w:rsidR="005461D1" w:rsidRDefault="00FE0221">
      <w:pPr>
        <w:pStyle w:val="af5"/>
        <w:spacing w:before="0" w:beforeAutospacing="0" w:after="0" w:afterAutospacing="0"/>
        <w:ind w:firstLine="708"/>
        <w:jc w:val="both"/>
        <w:rPr>
          <w:color w:val="292C2F"/>
          <w:sz w:val="28"/>
          <w:szCs w:val="28"/>
        </w:rPr>
      </w:pPr>
      <w:r>
        <w:rPr>
          <w:color w:val="292C2F"/>
          <w:sz w:val="28"/>
          <w:szCs w:val="28"/>
        </w:rPr>
        <w:t>Начальник Департамента по инвестиционной политике и территориальному развитию Аппаратов полномочного представителя Президе</w:t>
      </w:r>
      <w:r>
        <w:rPr>
          <w:color w:val="292C2F"/>
          <w:sz w:val="28"/>
          <w:szCs w:val="28"/>
        </w:rPr>
        <w:t xml:space="preserve">нта Российской Федерации в Сибирском федеральном округе </w:t>
      </w:r>
      <w:r>
        <w:rPr>
          <w:b/>
          <w:color w:val="292C2F"/>
          <w:sz w:val="28"/>
          <w:szCs w:val="28"/>
        </w:rPr>
        <w:t>Иван Гончаров</w:t>
      </w:r>
      <w:r>
        <w:rPr>
          <w:color w:val="292C2F"/>
          <w:sz w:val="28"/>
          <w:szCs w:val="28"/>
        </w:rPr>
        <w:t>, в свою очередь, отметил, что исполнение поручений Президента России находится в федеральном округе на особом контроле, так как данная работа способствует наполнению региональных бюджето</w:t>
      </w:r>
      <w:r>
        <w:rPr>
          <w:color w:val="292C2F"/>
          <w:sz w:val="28"/>
          <w:szCs w:val="28"/>
        </w:rPr>
        <w:t>в и улучшению инвестиционного климата регионов</w:t>
      </w:r>
      <w:bookmarkStart w:id="0" w:name="_GoBack"/>
      <w:bookmarkEnd w:id="0"/>
      <w:r>
        <w:rPr>
          <w:color w:val="292C2F"/>
          <w:sz w:val="28"/>
          <w:szCs w:val="28"/>
        </w:rPr>
        <w:t>.</w:t>
      </w:r>
    </w:p>
    <w:p w:rsidR="005461D1" w:rsidRDefault="005461D1">
      <w:pPr>
        <w:pStyle w:val="af5"/>
        <w:spacing w:before="0" w:beforeAutospacing="0" w:after="0" w:afterAutospacing="0"/>
        <w:ind w:firstLine="708"/>
        <w:jc w:val="both"/>
        <w:rPr>
          <w:color w:val="292C2F"/>
          <w:sz w:val="28"/>
          <w:szCs w:val="28"/>
        </w:rPr>
      </w:pPr>
    </w:p>
    <w:p w:rsidR="005461D1" w:rsidRDefault="005461D1">
      <w:pPr>
        <w:pStyle w:val="af5"/>
        <w:spacing w:before="0" w:beforeAutospacing="0" w:after="0" w:afterAutospacing="0"/>
        <w:ind w:firstLine="708"/>
        <w:jc w:val="both"/>
        <w:rPr>
          <w:color w:val="292C2F"/>
          <w:sz w:val="28"/>
          <w:szCs w:val="28"/>
        </w:rPr>
      </w:pPr>
    </w:p>
    <w:p w:rsidR="005461D1" w:rsidRDefault="00FE0221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4"/>
          <w:szCs w:val="24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5461D1" w:rsidRDefault="00FE0221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5461D1" w:rsidRDefault="005461D1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  <w:highlight w:val="white"/>
        </w:rPr>
      </w:pPr>
    </w:p>
    <w:p w:rsidR="005461D1" w:rsidRDefault="00FE0221">
      <w:pPr>
        <w:tabs>
          <w:tab w:val="left" w:pos="1105"/>
        </w:tabs>
        <w:spacing w:after="0" w:line="240" w:lineRule="auto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5461D1" w:rsidRDefault="00FE0221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Официальный канал 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 xml:space="preserve"> Росреестра по </w:t>
      </w:r>
      <w:r>
        <w:rPr>
          <w:sz w:val="28"/>
          <w:szCs w:val="28"/>
          <w:highlight w:val="white"/>
        </w:rPr>
        <w:t>ссылке https://max.ru/id5406299278_gos</w:t>
      </w:r>
    </w:p>
    <w:p w:rsidR="005461D1" w:rsidRDefault="005461D1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5461D1" w:rsidRDefault="005461D1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5461D1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5461D1" w:rsidRDefault="00FE02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5461D1" w:rsidRDefault="00FE0221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</w:t>
      </w:r>
      <w:r>
        <w:rPr>
          <w:rFonts w:ascii="Segoe UI" w:hAnsi="Segoe UI" w:cs="Segoe UI"/>
          <w:sz w:val="18"/>
          <w:szCs w:val="18"/>
        </w:rPr>
        <w:t>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</w:t>
      </w:r>
      <w:r>
        <w:rPr>
          <w:rFonts w:ascii="Segoe UI" w:hAnsi="Segoe UI" w:cs="Segoe UI"/>
          <w:sz w:val="18"/>
          <w:szCs w:val="18"/>
        </w:rPr>
        <w:t>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</w:t>
      </w:r>
      <w:r>
        <w:rPr>
          <w:rFonts w:ascii="Segoe UI" w:hAnsi="Segoe UI" w:cs="Segoe UI"/>
          <w:sz w:val="18"/>
          <w:szCs w:val="18"/>
        </w:rPr>
        <w:t>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</w:t>
      </w:r>
      <w:r>
        <w:rPr>
          <w:rFonts w:ascii="Segoe UI" w:hAnsi="Segoe UI" w:cs="Segoe UI"/>
          <w:sz w:val="18"/>
          <w:szCs w:val="18"/>
        </w:rPr>
        <w:t>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</w:t>
      </w:r>
      <w:r>
        <w:rPr>
          <w:rFonts w:ascii="Segoe UI" w:hAnsi="Segoe UI" w:cs="Segoe UI"/>
          <w:sz w:val="18"/>
          <w:szCs w:val="18"/>
        </w:rPr>
        <w:t xml:space="preserve">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5461D1" w:rsidRDefault="005461D1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5461D1" w:rsidRDefault="00FE0221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5461D1" w:rsidRDefault="00FE0221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5461D1" w:rsidRDefault="00FE0221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5461D1" w:rsidRDefault="00FE0221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FE0221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5461D1" w:rsidRDefault="005461D1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FE0221">
          <w:rPr>
            <w:rStyle w:val="10"/>
            <w:rFonts w:ascii="Segoe UI" w:hAnsi="Segoe UI" w:cs="Segoe UI"/>
            <w:sz w:val="18"/>
            <w:szCs w:val="20"/>
            <w:lang w:val="en-US"/>
          </w:rPr>
          <w:t>oko</w:t>
        </w:r>
        <w:r w:rsidR="00FE0221" w:rsidRPr="00FE0221">
          <w:rPr>
            <w:rStyle w:val="10"/>
            <w:rFonts w:ascii="Segoe UI" w:hAnsi="Segoe UI" w:cs="Segoe UI"/>
            <w:sz w:val="18"/>
            <w:szCs w:val="20"/>
          </w:rPr>
          <w:t>@</w:t>
        </w:r>
        <w:r w:rsidR="00FE0221">
          <w:rPr>
            <w:rStyle w:val="10"/>
            <w:rFonts w:ascii="Segoe UI" w:hAnsi="Segoe UI" w:cs="Segoe UI"/>
            <w:sz w:val="18"/>
            <w:szCs w:val="20"/>
            <w:lang w:val="en-US"/>
          </w:rPr>
          <w:t>r</w:t>
        </w:r>
        <w:r w:rsidR="00FE0221">
          <w:rPr>
            <w:rStyle w:val="10"/>
            <w:rFonts w:ascii="Segoe UI" w:hAnsi="Segoe UI" w:cs="Segoe UI"/>
            <w:sz w:val="18"/>
            <w:szCs w:val="20"/>
          </w:rPr>
          <w:t>54</w:t>
        </w:r>
        <w:r w:rsidR="00FE0221" w:rsidRPr="00FE0221">
          <w:rPr>
            <w:rStyle w:val="10"/>
            <w:rFonts w:ascii="Segoe UI" w:hAnsi="Segoe UI" w:cs="Segoe UI"/>
            <w:sz w:val="18"/>
            <w:szCs w:val="20"/>
          </w:rPr>
          <w:t>.</w:t>
        </w:r>
        <w:r w:rsidR="00FE0221">
          <w:rPr>
            <w:rStyle w:val="10"/>
            <w:rFonts w:ascii="Segoe UI" w:hAnsi="Segoe UI" w:cs="Segoe UI"/>
            <w:sz w:val="18"/>
            <w:szCs w:val="20"/>
            <w:lang w:val="en-US"/>
          </w:rPr>
          <w:t>rosreestr</w:t>
        </w:r>
        <w:r w:rsidR="00FE0221" w:rsidRPr="00FE0221">
          <w:rPr>
            <w:rStyle w:val="10"/>
            <w:rFonts w:ascii="Segoe UI" w:hAnsi="Segoe UI" w:cs="Segoe UI"/>
            <w:sz w:val="18"/>
            <w:szCs w:val="20"/>
          </w:rPr>
          <w:t>.</w:t>
        </w:r>
        <w:r w:rsidR="00FE0221">
          <w:rPr>
            <w:rStyle w:val="10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FE0221" w:rsidRPr="00FE0221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5461D1" w:rsidRPr="00FE0221" w:rsidRDefault="00FE0221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FE0221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FE0221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5461D1" w:rsidRDefault="00FE0221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10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FE0221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1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0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FE0221">
          <w:rPr>
            <w:rStyle w:val="10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10"/>
          <w:rFonts w:ascii="Segoe UI" w:hAnsi="Segoe UI" w:cs="Segoe UI"/>
          <w:sz w:val="20"/>
          <w:szCs w:val="20"/>
        </w:rPr>
        <w:t xml:space="preserve">,  </w:t>
      </w:r>
      <w:hyperlink r:id="rId14" w:tooltip="https://rutube.ru/channel/30410070/" w:history="1">
        <w:proofErr w:type="spellStart"/>
        <w:r>
          <w:rPr>
            <w:rStyle w:val="10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10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10"/>
            <w:rFonts w:ascii="Segoe UI" w:hAnsi="Segoe UI" w:cs="Segoe UI"/>
            <w:sz w:val="20"/>
          </w:rPr>
          <w:t>Телеграм</w:t>
        </w:r>
        <w:proofErr w:type="spellEnd"/>
      </w:hyperlink>
    </w:p>
    <w:p w:rsidR="005461D1" w:rsidRDefault="00FE0221">
      <w:pPr>
        <w:jc w:val="both"/>
        <w:rPr>
          <w:rFonts w:ascii="Segoe UI" w:hAnsi="Segoe UI" w:cs="Segoe UI"/>
          <w:sz w:val="20"/>
          <w:szCs w:val="20"/>
        </w:rPr>
      </w:pPr>
      <w:r>
        <w:rPr>
          <w:rStyle w:val="10"/>
          <w:rFonts w:ascii="Segoe UI" w:hAnsi="Segoe UI" w:cs="Segoe UI"/>
          <w:sz w:val="20"/>
          <w:szCs w:val="20"/>
        </w:rPr>
        <w:t xml:space="preserve"> </w:t>
      </w:r>
      <w:r>
        <w:rPr>
          <w:rStyle w:val="10"/>
          <w:rFonts w:ascii="Segoe UI" w:hAnsi="Segoe UI" w:cs="Segoe UI"/>
          <w:sz w:val="20"/>
        </w:rPr>
        <w:t xml:space="preserve"> </w:t>
      </w:r>
    </w:p>
    <w:p w:rsidR="005461D1" w:rsidRDefault="005461D1">
      <w:pPr>
        <w:jc w:val="both"/>
      </w:pPr>
    </w:p>
    <w:p w:rsidR="005461D1" w:rsidRDefault="005461D1">
      <w:pPr>
        <w:jc w:val="both"/>
      </w:pPr>
    </w:p>
    <w:p w:rsidR="005461D1" w:rsidRDefault="005461D1">
      <w:pPr>
        <w:jc w:val="both"/>
      </w:pPr>
    </w:p>
    <w:p w:rsidR="005461D1" w:rsidRDefault="005461D1">
      <w:pPr>
        <w:jc w:val="both"/>
      </w:pPr>
    </w:p>
    <w:p w:rsidR="005461D1" w:rsidRDefault="005461D1">
      <w:pPr>
        <w:jc w:val="both"/>
      </w:pPr>
    </w:p>
    <w:p w:rsidR="005461D1" w:rsidRDefault="005461D1">
      <w:pPr>
        <w:jc w:val="both"/>
      </w:pPr>
    </w:p>
    <w:p w:rsidR="005461D1" w:rsidRDefault="005461D1">
      <w:pPr>
        <w:jc w:val="both"/>
      </w:pPr>
    </w:p>
    <w:p w:rsidR="005461D1" w:rsidRDefault="005461D1">
      <w:pPr>
        <w:jc w:val="both"/>
      </w:pPr>
    </w:p>
    <w:p w:rsidR="005461D1" w:rsidRDefault="005461D1">
      <w:pPr>
        <w:jc w:val="both"/>
        <w:rPr>
          <w:sz w:val="28"/>
          <w:szCs w:val="28"/>
        </w:rPr>
      </w:pPr>
    </w:p>
    <w:p w:rsidR="005461D1" w:rsidRDefault="005461D1">
      <w:pPr>
        <w:jc w:val="both"/>
        <w:rPr>
          <w:sz w:val="28"/>
          <w:szCs w:val="28"/>
        </w:rPr>
      </w:pPr>
    </w:p>
    <w:p w:rsidR="005461D1" w:rsidRDefault="005461D1">
      <w:pPr>
        <w:pStyle w:val="af5"/>
        <w:spacing w:after="0"/>
        <w:jc w:val="center"/>
        <w:rPr>
          <w:b/>
          <w:bCs/>
          <w:color w:val="292C2F"/>
          <w:sz w:val="28"/>
          <w:szCs w:val="28"/>
        </w:rPr>
      </w:pPr>
    </w:p>
    <w:sectPr w:rsidR="005461D1" w:rsidSect="00546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1D1" w:rsidRDefault="00FE0221">
      <w:pPr>
        <w:spacing w:after="0" w:line="240" w:lineRule="auto"/>
      </w:pPr>
      <w:r>
        <w:separator/>
      </w:r>
    </w:p>
  </w:endnote>
  <w:endnote w:type="continuationSeparator" w:id="0">
    <w:p w:rsidR="005461D1" w:rsidRDefault="00FE0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1D1" w:rsidRDefault="00FE0221">
      <w:pPr>
        <w:spacing w:after="0" w:line="240" w:lineRule="auto"/>
      </w:pPr>
      <w:r>
        <w:separator/>
      </w:r>
    </w:p>
  </w:footnote>
  <w:footnote w:type="continuationSeparator" w:id="0">
    <w:p w:rsidR="005461D1" w:rsidRDefault="00FE0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261E7"/>
    <w:multiLevelType w:val="hybridMultilevel"/>
    <w:tmpl w:val="896EE708"/>
    <w:lvl w:ilvl="0" w:tplc="E424B4A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D3623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042DA6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BE824F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4CABB8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E1099D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2689AF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94CB5F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D6E284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1D1"/>
    <w:rsid w:val="005461D1"/>
    <w:rsid w:val="00FE0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5461D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5461D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5461D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5461D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5461D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5461D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5461D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5461D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5461D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5461D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5461D1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5461D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5461D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5461D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5461D1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5461D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5461D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5461D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461D1"/>
    <w:pPr>
      <w:ind w:left="720"/>
      <w:contextualSpacing/>
    </w:pPr>
  </w:style>
  <w:style w:type="paragraph" w:styleId="a4">
    <w:name w:val="No Spacing"/>
    <w:uiPriority w:val="1"/>
    <w:qFormat/>
    <w:rsid w:val="005461D1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5461D1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5461D1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461D1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461D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461D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461D1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461D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5461D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5461D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5461D1"/>
  </w:style>
  <w:style w:type="paragraph" w:customStyle="1" w:styleId="Footer">
    <w:name w:val="Footer"/>
    <w:basedOn w:val="a"/>
    <w:link w:val="CaptionChar"/>
    <w:uiPriority w:val="99"/>
    <w:unhideWhenUsed/>
    <w:rsid w:val="005461D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5461D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5461D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5461D1"/>
  </w:style>
  <w:style w:type="table" w:styleId="ab">
    <w:name w:val="Table Grid"/>
    <w:basedOn w:val="a1"/>
    <w:uiPriority w:val="59"/>
    <w:rsid w:val="005461D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5461D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461D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461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461D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461D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461D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461D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461D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461D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461D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461D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461D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461D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461D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461D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461D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461D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461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5461D1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5461D1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5461D1"/>
    <w:rPr>
      <w:sz w:val="18"/>
    </w:rPr>
  </w:style>
  <w:style w:type="character" w:styleId="af">
    <w:name w:val="footnote reference"/>
    <w:basedOn w:val="a0"/>
    <w:uiPriority w:val="99"/>
    <w:unhideWhenUsed/>
    <w:rsid w:val="005461D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5461D1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5461D1"/>
    <w:rPr>
      <w:sz w:val="20"/>
    </w:rPr>
  </w:style>
  <w:style w:type="character" w:styleId="af2">
    <w:name w:val="endnote reference"/>
    <w:basedOn w:val="a0"/>
    <w:uiPriority w:val="99"/>
    <w:semiHidden/>
    <w:unhideWhenUsed/>
    <w:rsid w:val="005461D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5461D1"/>
    <w:pPr>
      <w:spacing w:after="57"/>
    </w:pPr>
  </w:style>
  <w:style w:type="paragraph" w:styleId="21">
    <w:name w:val="toc 2"/>
    <w:basedOn w:val="a"/>
    <w:next w:val="a"/>
    <w:uiPriority w:val="39"/>
    <w:unhideWhenUsed/>
    <w:rsid w:val="005461D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461D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461D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461D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461D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461D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461D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461D1"/>
    <w:pPr>
      <w:spacing w:after="57"/>
      <w:ind w:left="2268"/>
    </w:pPr>
  </w:style>
  <w:style w:type="paragraph" w:styleId="af3">
    <w:name w:val="TOC Heading"/>
    <w:uiPriority w:val="39"/>
    <w:unhideWhenUsed/>
    <w:rsid w:val="005461D1"/>
  </w:style>
  <w:style w:type="paragraph" w:styleId="af4">
    <w:name w:val="table of figures"/>
    <w:basedOn w:val="a"/>
    <w:next w:val="a"/>
    <w:uiPriority w:val="99"/>
    <w:unhideWhenUsed/>
    <w:rsid w:val="005461D1"/>
    <w:pPr>
      <w:spacing w:after="0"/>
    </w:pPr>
  </w:style>
  <w:style w:type="paragraph" w:styleId="af5">
    <w:name w:val="Normal (Web)"/>
    <w:basedOn w:val="a"/>
    <w:uiPriority w:val="99"/>
    <w:unhideWhenUsed/>
    <w:rsid w:val="00546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5461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461D1"/>
    <w:rPr>
      <w:rFonts w:ascii="Segoe UI" w:hAnsi="Segoe UI" w:cs="Segoe UI"/>
      <w:sz w:val="18"/>
      <w:szCs w:val="18"/>
    </w:rPr>
  </w:style>
  <w:style w:type="character" w:customStyle="1" w:styleId="10">
    <w:name w:val="Гиперссылка1"/>
    <w:rsid w:val="005461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813</Words>
  <Characters>4638</Characters>
  <Application>Microsoft Office Word</Application>
  <DocSecurity>0</DocSecurity>
  <Lines>38</Lines>
  <Paragraphs>10</Paragraphs>
  <ScaleCrop>false</ScaleCrop>
  <Company/>
  <LinksUpToDate>false</LinksUpToDate>
  <CharactersWithSpaces>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Sidorova_LV</cp:lastModifiedBy>
  <cp:revision>6</cp:revision>
  <dcterms:created xsi:type="dcterms:W3CDTF">2026-07-17T09:41:00Z</dcterms:created>
  <dcterms:modified xsi:type="dcterms:W3CDTF">2026-07-27T09:32:00Z</dcterms:modified>
</cp:coreProperties>
</file>